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F7CA7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912C48"/>
    <w:rsid w:val="009A768D"/>
    <w:rsid w:val="009C781B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2017-07-07T08:37:00Z</dcterms:modified>
</cp:coreProperties>
</file>